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D96E" w14:textId="5D596106" w:rsidR="002F6015" w:rsidRDefault="007756D6" w:rsidP="00E91FB4">
      <w:pPr>
        <w:widowControl w:val="0"/>
        <w:spacing w:beforeLines="100" w:before="24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32"/>
          <w:szCs w:val="32"/>
        </w:rPr>
      </w:pPr>
      <w:r w:rsidRPr="00E91FB4"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  <w:t>安全生产管理协议</w:t>
      </w:r>
    </w:p>
    <w:p w14:paraId="48EC027D" w14:textId="77777777" w:rsidR="00E91FB4" w:rsidRPr="00E91FB4" w:rsidRDefault="00E91FB4" w:rsidP="00E91FB4">
      <w:pPr>
        <w:widowControl w:val="0"/>
        <w:spacing w:beforeLines="100" w:before="240" w:line="56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32"/>
          <w:szCs w:val="32"/>
        </w:rPr>
      </w:pPr>
    </w:p>
    <w:p w14:paraId="6C4F4685" w14:textId="77777777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b/>
          <w:color w:val="000000"/>
          <w:szCs w:val="24"/>
        </w:rPr>
        <w:t>甲方（出租方）</w:t>
      </w:r>
      <w:r w:rsidRPr="00E91FB4">
        <w:rPr>
          <w:rFonts w:ascii="仿宋" w:eastAsia="仿宋" w:hAnsi="仿宋" w:cs="宋体" w:hint="eastAsia"/>
          <w:b/>
          <w:color w:val="000000"/>
          <w:szCs w:val="24"/>
        </w:rPr>
        <w:t>：</w:t>
      </w:r>
    </w:p>
    <w:p w14:paraId="24516C53" w14:textId="77777777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统一社会信用代码：</w:t>
      </w:r>
      <w:r w:rsidRPr="00E91FB4">
        <w:rPr>
          <w:rFonts w:ascii="Calibri" w:eastAsia="仿宋" w:hAnsi="Calibri" w:cs="Calibri"/>
          <w:color w:val="000000"/>
          <w:szCs w:val="24"/>
          <w:u w:val="single"/>
        </w:rPr>
        <w:t>  </w:t>
      </w:r>
    </w:p>
    <w:p w14:paraId="6558BBAE" w14:textId="19BE9CAA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b/>
          <w:color w:val="000000"/>
          <w:szCs w:val="24"/>
        </w:rPr>
        <w:t>乙方（承租方）</w:t>
      </w:r>
      <w:r w:rsidRPr="00E91FB4">
        <w:rPr>
          <w:rFonts w:ascii="仿宋" w:eastAsia="仿宋" w:hAnsi="仿宋" w:cs="宋体" w:hint="eastAsia"/>
          <w:color w:val="000000"/>
          <w:szCs w:val="24"/>
        </w:rPr>
        <w:t>：</w:t>
      </w:r>
    </w:p>
    <w:p w14:paraId="1824FBBF" w14:textId="77777777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统一社会信用代码：</w:t>
      </w:r>
      <w:r w:rsidRPr="00E91FB4">
        <w:rPr>
          <w:rFonts w:ascii="Calibri" w:eastAsia="仿宋" w:hAnsi="Calibri" w:cs="Calibri"/>
          <w:color w:val="000000"/>
          <w:szCs w:val="24"/>
          <w:u w:val="single"/>
        </w:rPr>
        <w:t>  </w:t>
      </w:r>
    </w:p>
    <w:p w14:paraId="5DDA99B0" w14:textId="77777777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鉴于：</w:t>
      </w:r>
    </w:p>
    <w:p w14:paraId="2646E3D5" w14:textId="77777777" w:rsidR="002F6015" w:rsidRPr="00E91FB4" w:rsidRDefault="007756D6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甲乙双方签订了</w:t>
      </w:r>
      <w:r w:rsidRPr="00E91FB4">
        <w:rPr>
          <w:rFonts w:ascii="仿宋" w:eastAsia="仿宋" w:hAnsi="仿宋" w:cs="宋体" w:hint="eastAsia"/>
          <w:color w:val="000000"/>
          <w:szCs w:val="24"/>
          <w:u w:val="single"/>
        </w:rPr>
        <w:t>《</w:t>
      </w:r>
      <w:r w:rsidRPr="00E91FB4">
        <w:rPr>
          <w:rFonts w:ascii="仿宋" w:eastAsia="仿宋" w:hAnsi="仿宋" w:cs="宋体" w:hint="eastAsia"/>
          <w:color w:val="000000"/>
          <w:szCs w:val="24"/>
          <w:u w:val="single"/>
        </w:rPr>
        <w:t>房屋</w:t>
      </w:r>
      <w:r w:rsidRPr="00E91FB4">
        <w:rPr>
          <w:rFonts w:ascii="仿宋" w:eastAsia="仿宋" w:hAnsi="仿宋" w:cs="宋体" w:hint="eastAsia"/>
          <w:color w:val="000000"/>
          <w:szCs w:val="24"/>
          <w:u w:val="single"/>
        </w:rPr>
        <w:t>租赁合同》</w:t>
      </w:r>
      <w:r w:rsidRPr="00E91FB4">
        <w:rPr>
          <w:rFonts w:ascii="仿宋" w:eastAsia="仿宋" w:hAnsi="仿宋" w:cs="宋体" w:hint="eastAsia"/>
          <w:color w:val="000000"/>
          <w:szCs w:val="24"/>
        </w:rPr>
        <w:t>。</w:t>
      </w:r>
    </w:p>
    <w:p w14:paraId="089F35A1" w14:textId="77777777" w:rsidR="002F6015" w:rsidRPr="00E91FB4" w:rsidRDefault="007756D6">
      <w:pPr>
        <w:pStyle w:val="a7"/>
        <w:numPr>
          <w:ilvl w:val="1"/>
          <w:numId w:val="1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根据《</w:t>
      </w:r>
      <w:r w:rsidRPr="00E91FB4">
        <w:rPr>
          <w:rFonts w:ascii="仿宋" w:eastAsia="仿宋" w:hAnsi="仿宋" w:cs="宋体" w:hint="eastAsia"/>
          <w:color w:val="000000"/>
          <w:szCs w:val="24"/>
        </w:rPr>
        <w:t>房屋</w:t>
      </w:r>
      <w:r w:rsidRPr="00E91FB4">
        <w:rPr>
          <w:rFonts w:ascii="仿宋" w:eastAsia="仿宋" w:hAnsi="仿宋" w:cs="宋体" w:hint="eastAsia"/>
          <w:color w:val="000000"/>
          <w:szCs w:val="24"/>
        </w:rPr>
        <w:t>租赁合同》，乙方有权使用《</w:t>
      </w:r>
      <w:r w:rsidRPr="00E91FB4">
        <w:rPr>
          <w:rFonts w:ascii="仿宋" w:eastAsia="仿宋" w:hAnsi="仿宋" w:cs="宋体" w:hint="eastAsia"/>
          <w:color w:val="000000"/>
          <w:szCs w:val="24"/>
        </w:rPr>
        <w:t>房屋</w:t>
      </w:r>
      <w:r w:rsidRPr="00E91FB4">
        <w:rPr>
          <w:rFonts w:ascii="仿宋" w:eastAsia="仿宋" w:hAnsi="仿宋" w:cs="宋体" w:hint="eastAsia"/>
          <w:color w:val="000000"/>
          <w:szCs w:val="24"/>
        </w:rPr>
        <w:t>租赁合同》约定的场地（下称“场地”），但应承担安全生产管理义务。</w:t>
      </w:r>
    </w:p>
    <w:p w14:paraId="5ED90D65" w14:textId="77777777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本协议各方经平等自愿协商，根据《中华人民共和国民法典》及相关法规，签订本协议以共同遵守。</w:t>
      </w:r>
    </w:p>
    <w:p w14:paraId="47E3C677" w14:textId="77777777" w:rsidR="002F6015" w:rsidRPr="00E91FB4" w:rsidRDefault="007756D6" w:rsidP="00E91FB4">
      <w:pPr>
        <w:widowControl w:val="0"/>
        <w:numPr>
          <w:ilvl w:val="0"/>
          <w:numId w:val="2"/>
        </w:numPr>
        <w:spacing w:line="360" w:lineRule="auto"/>
        <w:jc w:val="both"/>
        <w:rPr>
          <w:rFonts w:ascii="黑体" w:eastAsia="黑体" w:hAnsi="黑体" w:cs="宋体" w:hint="eastAsia"/>
          <w:szCs w:val="24"/>
        </w:rPr>
      </w:pPr>
      <w:r w:rsidRPr="00E91FB4">
        <w:rPr>
          <w:rFonts w:ascii="黑体" w:eastAsia="黑体" w:hAnsi="黑体" w:cs="宋体" w:hint="eastAsia"/>
          <w:szCs w:val="24"/>
        </w:rPr>
        <w:t>甲方责任</w:t>
      </w:r>
      <w:r w:rsidRPr="00E91FB4">
        <w:rPr>
          <w:rFonts w:ascii="Calibri" w:eastAsia="黑体" w:hAnsi="Calibri" w:cs="Calibri"/>
          <w:szCs w:val="24"/>
        </w:rPr>
        <w:t> </w:t>
      </w:r>
    </w:p>
    <w:p w14:paraId="084196DB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甲方应认真执行《中华人民共和国安全生产法》、《中华人民共和国消防法》等政府部门的有关规定。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0BE8D516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对乙方提出的有关安全问题，积极协助解决。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7E435C1E" w14:textId="77777777" w:rsidR="002F6015" w:rsidRPr="00E91FB4" w:rsidRDefault="007756D6" w:rsidP="00E91FB4">
      <w:pPr>
        <w:widowControl w:val="0"/>
        <w:numPr>
          <w:ilvl w:val="0"/>
          <w:numId w:val="2"/>
        </w:numPr>
        <w:spacing w:line="360" w:lineRule="auto"/>
        <w:jc w:val="both"/>
        <w:rPr>
          <w:rFonts w:ascii="黑体" w:eastAsia="黑体" w:hAnsi="黑体" w:cs="宋体" w:hint="eastAsia"/>
          <w:szCs w:val="24"/>
        </w:rPr>
      </w:pPr>
      <w:r w:rsidRPr="00E91FB4">
        <w:rPr>
          <w:rFonts w:ascii="黑体" w:eastAsia="黑体" w:hAnsi="黑体" w:cs="宋体" w:hint="eastAsia"/>
          <w:szCs w:val="24"/>
        </w:rPr>
        <w:t>乙方责任</w:t>
      </w:r>
      <w:r w:rsidRPr="00E91FB4">
        <w:rPr>
          <w:rFonts w:ascii="Calibri" w:eastAsia="黑体" w:hAnsi="Calibri" w:cs="Calibri"/>
          <w:szCs w:val="24"/>
        </w:rPr>
        <w:t> </w:t>
      </w:r>
    </w:p>
    <w:p w14:paraId="7931F4C3" w14:textId="57C07112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</w:t>
      </w:r>
      <w:r w:rsidRPr="00E91FB4">
        <w:rPr>
          <w:rFonts w:ascii="仿宋" w:eastAsia="仿宋" w:hAnsi="仿宋" w:cs="宋体" w:hint="eastAsia"/>
          <w:color w:val="000000"/>
          <w:szCs w:val="24"/>
        </w:rPr>
        <w:t>或</w:t>
      </w:r>
      <w:r w:rsidRPr="00E91FB4">
        <w:rPr>
          <w:rFonts w:ascii="仿宋" w:eastAsia="仿宋" w:hAnsi="仿宋" w:cs="宋体" w:hint="eastAsia"/>
          <w:color w:val="000000"/>
          <w:szCs w:val="24"/>
        </w:rPr>
        <w:t>乙方</w:t>
      </w:r>
      <w:r w:rsidRPr="00E91FB4">
        <w:rPr>
          <w:rFonts w:ascii="仿宋" w:eastAsia="仿宋" w:hAnsi="仿宋" w:cs="宋体" w:hint="eastAsia"/>
          <w:color w:val="000000"/>
          <w:szCs w:val="24"/>
        </w:rPr>
        <w:t>负责人为该</w:t>
      </w:r>
      <w:r w:rsidRPr="00E91FB4">
        <w:rPr>
          <w:rFonts w:ascii="仿宋" w:eastAsia="仿宋" w:hAnsi="仿宋" w:cs="宋体" w:hint="eastAsia"/>
          <w:color w:val="000000"/>
          <w:szCs w:val="24"/>
        </w:rPr>
        <w:t>场地的</w:t>
      </w:r>
      <w:r w:rsidRPr="00E91FB4">
        <w:rPr>
          <w:rFonts w:ascii="仿宋" w:eastAsia="仿宋" w:hAnsi="仿宋" w:cs="宋体" w:hint="eastAsia"/>
          <w:color w:val="000000"/>
          <w:szCs w:val="24"/>
        </w:rPr>
        <w:t>安全责任人，</w:t>
      </w:r>
      <w:r w:rsidRPr="00E91FB4">
        <w:rPr>
          <w:rFonts w:ascii="仿宋" w:eastAsia="仿宋" w:hAnsi="仿宋" w:cs="宋体" w:hint="eastAsia"/>
          <w:color w:val="000000"/>
          <w:szCs w:val="24"/>
        </w:rPr>
        <w:t>应认真执行《中华人民共和国安全生产法》、《中华人民共和国消防法》等政府部门的有关规定</w:t>
      </w:r>
      <w:r w:rsidRPr="00E91FB4">
        <w:rPr>
          <w:rFonts w:ascii="仿宋" w:eastAsia="仿宋" w:hAnsi="仿宋" w:cs="宋体" w:hint="eastAsia"/>
          <w:color w:val="000000"/>
          <w:szCs w:val="24"/>
        </w:rPr>
        <w:t>，</w:t>
      </w:r>
      <w:r w:rsidRPr="00E91FB4">
        <w:rPr>
          <w:rFonts w:ascii="仿宋" w:eastAsia="仿宋" w:hAnsi="仿宋" w:cs="宋体" w:hint="eastAsia"/>
          <w:color w:val="000000"/>
          <w:szCs w:val="24"/>
        </w:rPr>
        <w:t>并承担相应的安全责任</w:t>
      </w:r>
      <w:r w:rsidRPr="00E91FB4">
        <w:rPr>
          <w:rFonts w:ascii="仿宋" w:eastAsia="仿宋" w:hAnsi="仿宋" w:cs="宋体" w:hint="eastAsia"/>
          <w:color w:val="000000"/>
          <w:szCs w:val="24"/>
        </w:rPr>
        <w:t>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0C87E570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乙方对场地的内部装修和改动须征得甲方</w:t>
      </w:r>
      <w:r w:rsidRPr="00E91FB4">
        <w:rPr>
          <w:rFonts w:ascii="仿宋" w:eastAsia="仿宋" w:hAnsi="仿宋" w:cs="宋体" w:hint="eastAsia"/>
          <w:color w:val="000000"/>
          <w:szCs w:val="24"/>
        </w:rPr>
        <w:t>书面</w:t>
      </w:r>
      <w:r w:rsidRPr="00E91FB4">
        <w:rPr>
          <w:rFonts w:ascii="仿宋" w:eastAsia="仿宋" w:hAnsi="仿宋" w:cs="宋体" w:hint="eastAsia"/>
          <w:color w:val="000000"/>
          <w:szCs w:val="24"/>
        </w:rPr>
        <w:t>同意。</w:t>
      </w:r>
      <w:r w:rsidRPr="00E91FB4">
        <w:rPr>
          <w:rFonts w:ascii="仿宋" w:eastAsia="仿宋" w:hAnsi="仿宋" w:cs="宋体" w:hint="eastAsia"/>
          <w:color w:val="000000"/>
          <w:szCs w:val="24"/>
        </w:rPr>
        <w:t>乙方</w:t>
      </w:r>
      <w:r w:rsidRPr="00E91FB4">
        <w:rPr>
          <w:rFonts w:ascii="仿宋" w:eastAsia="仿宋" w:hAnsi="仿宋" w:cs="宋体" w:hint="eastAsia"/>
          <w:color w:val="000000"/>
          <w:szCs w:val="24"/>
        </w:rPr>
        <w:t>装修和改动应符合建筑和消防的有关规定</w:t>
      </w:r>
      <w:r w:rsidRPr="00E91FB4">
        <w:rPr>
          <w:rFonts w:ascii="仿宋" w:eastAsia="仿宋" w:hAnsi="仿宋" w:cs="宋体" w:hint="eastAsia"/>
          <w:color w:val="000000"/>
          <w:szCs w:val="24"/>
        </w:rPr>
        <w:t>且应</w:t>
      </w:r>
      <w:r w:rsidRPr="00E91FB4">
        <w:rPr>
          <w:rFonts w:ascii="仿宋" w:eastAsia="仿宋" w:hAnsi="仿宋" w:cs="宋体" w:hint="eastAsia"/>
          <w:color w:val="000000"/>
          <w:szCs w:val="24"/>
        </w:rPr>
        <w:t>取得</w:t>
      </w:r>
      <w:r w:rsidRPr="00E91FB4">
        <w:rPr>
          <w:rFonts w:ascii="仿宋" w:eastAsia="仿宋" w:hAnsi="仿宋" w:cs="宋体" w:hint="eastAsia"/>
          <w:color w:val="000000"/>
          <w:szCs w:val="24"/>
        </w:rPr>
        <w:t>相关部门书面同意</w:t>
      </w:r>
      <w:r w:rsidRPr="00E91FB4">
        <w:rPr>
          <w:rFonts w:ascii="仿宋" w:eastAsia="仿宋" w:hAnsi="仿宋" w:cs="宋体" w:hint="eastAsia"/>
          <w:color w:val="000000"/>
          <w:szCs w:val="24"/>
        </w:rPr>
        <w:t>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5479B242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乙方入驻前要对工作环境及相关设施进行检查和确定，如有问题及时与甲方联系。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4D3FA56A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乙方（包括装修施工期间）不得私自送电、偷接及盗用公共设施用电</w:t>
      </w:r>
      <w:r w:rsidRPr="00E91FB4">
        <w:rPr>
          <w:rFonts w:ascii="仿宋" w:eastAsia="仿宋" w:hAnsi="仿宋" w:cs="宋体" w:hint="eastAsia"/>
          <w:color w:val="000000"/>
          <w:szCs w:val="24"/>
        </w:rPr>
        <w:t>，</w:t>
      </w:r>
      <w:r w:rsidRPr="00E91FB4">
        <w:rPr>
          <w:rFonts w:ascii="仿宋" w:eastAsia="仿宋" w:hAnsi="仿宋" w:cs="宋体" w:hint="eastAsia"/>
          <w:color w:val="000000"/>
          <w:szCs w:val="24"/>
        </w:rPr>
        <w:t>不得超负荷使用电气线路，使用的电器容量应与线径、熔断器相匹配。</w:t>
      </w:r>
      <w:r w:rsidRPr="00E91FB4">
        <w:rPr>
          <w:rFonts w:ascii="仿宋" w:eastAsia="仿宋" w:hAnsi="仿宋" w:cs="宋体" w:hint="eastAsia"/>
          <w:color w:val="000000"/>
          <w:szCs w:val="24"/>
        </w:rPr>
        <w:t>电器</w:t>
      </w:r>
      <w:r w:rsidRPr="00E91FB4">
        <w:rPr>
          <w:rFonts w:ascii="仿宋" w:eastAsia="仿宋" w:hAnsi="仿宋" w:cs="宋体" w:hint="eastAsia"/>
          <w:color w:val="000000"/>
          <w:szCs w:val="24"/>
        </w:rPr>
        <w:t>设备</w:t>
      </w:r>
      <w:r w:rsidRPr="00E91FB4">
        <w:rPr>
          <w:rFonts w:ascii="仿宋" w:eastAsia="仿宋" w:hAnsi="仿宋" w:cs="宋体" w:hint="eastAsia"/>
          <w:color w:val="000000"/>
          <w:szCs w:val="24"/>
        </w:rPr>
        <w:t>等</w:t>
      </w:r>
      <w:r w:rsidRPr="00E91FB4">
        <w:rPr>
          <w:rFonts w:ascii="仿宋" w:eastAsia="仿宋" w:hAnsi="仿宋" w:cs="宋体" w:hint="eastAsia"/>
          <w:color w:val="000000"/>
          <w:szCs w:val="24"/>
        </w:rPr>
        <w:t>出现冒烟、拉弧、焦味等异常现象，应立即切断设备</w:t>
      </w:r>
      <w:proofErr w:type="gramStart"/>
      <w:r w:rsidRPr="00E91FB4">
        <w:rPr>
          <w:rFonts w:ascii="仿宋" w:eastAsia="仿宋" w:hAnsi="仿宋" w:cs="宋体" w:hint="eastAsia"/>
          <w:color w:val="000000"/>
          <w:szCs w:val="24"/>
        </w:rPr>
        <w:t>电源并第一时间</w:t>
      </w:r>
      <w:proofErr w:type="gramEnd"/>
      <w:r w:rsidRPr="00E91FB4">
        <w:rPr>
          <w:rFonts w:ascii="仿宋" w:eastAsia="仿宋" w:hAnsi="仿宋" w:cs="宋体" w:hint="eastAsia"/>
          <w:color w:val="000000"/>
          <w:szCs w:val="24"/>
        </w:rPr>
        <w:t>向</w:t>
      </w:r>
      <w:r w:rsidRPr="00E91FB4">
        <w:rPr>
          <w:rFonts w:ascii="仿宋" w:eastAsia="仿宋" w:hAnsi="仿宋" w:cs="宋体" w:hint="eastAsia"/>
          <w:color w:val="000000"/>
          <w:szCs w:val="24"/>
        </w:rPr>
        <w:t>甲方及</w:t>
      </w:r>
      <w:r w:rsidRPr="00E91FB4">
        <w:rPr>
          <w:rFonts w:ascii="仿宋" w:eastAsia="仿宋" w:hAnsi="仿宋" w:cs="宋体" w:hint="eastAsia"/>
          <w:color w:val="000000"/>
          <w:szCs w:val="24"/>
        </w:rPr>
        <w:lastRenderedPageBreak/>
        <w:t>有关部门</w:t>
      </w:r>
      <w:r w:rsidRPr="00E91FB4">
        <w:rPr>
          <w:rFonts w:ascii="仿宋" w:eastAsia="仿宋" w:hAnsi="仿宋" w:cs="宋体" w:hint="eastAsia"/>
          <w:color w:val="000000"/>
          <w:szCs w:val="24"/>
        </w:rPr>
        <w:t>报告情况，避免扩大故障范围和发生触电。漏电保护器出现跳闸现象，不得私自重新合闸</w:t>
      </w:r>
      <w:r w:rsidRPr="00E91FB4">
        <w:rPr>
          <w:rFonts w:ascii="仿宋" w:eastAsia="仿宋" w:hAnsi="仿宋" w:cs="宋体" w:hint="eastAsia"/>
          <w:color w:val="000000"/>
          <w:szCs w:val="24"/>
        </w:rPr>
        <w:t>。</w:t>
      </w:r>
    </w:p>
    <w:p w14:paraId="1DB9BB36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乙方应责成工作人员积极配合管理方组织的各项安全检查管理工作，积极参加管理方组织的消防培训及演练，增</w:t>
      </w:r>
      <w:r w:rsidRPr="00E91FB4">
        <w:rPr>
          <w:rFonts w:ascii="仿宋" w:eastAsia="仿宋" w:hAnsi="仿宋" w:cs="宋体" w:hint="eastAsia"/>
          <w:color w:val="000000"/>
          <w:szCs w:val="24"/>
        </w:rPr>
        <w:t>强安全防范意识，提高危险预防和应对能力。</w:t>
      </w:r>
      <w:r w:rsidRPr="00E91FB4">
        <w:rPr>
          <w:rFonts w:ascii="仿宋" w:eastAsia="仿宋" w:hAnsi="仿宋" w:cs="宋体" w:hint="eastAsia"/>
          <w:color w:val="000000"/>
          <w:szCs w:val="24"/>
        </w:rPr>
        <w:t>应熟悉、了解用房周围消防器材放置位，以备紧急时使用。</w:t>
      </w:r>
    </w:p>
    <w:p w14:paraId="794FC913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乙方不得生产易爆和其它有毒的危险物品。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04E1E288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</w:t>
      </w:r>
      <w:r w:rsidRPr="00E91FB4">
        <w:rPr>
          <w:rFonts w:ascii="仿宋" w:eastAsia="仿宋" w:hAnsi="仿宋" w:cs="宋体" w:hint="eastAsia"/>
          <w:color w:val="000000"/>
          <w:szCs w:val="24"/>
        </w:rPr>
        <w:t>确保</w:t>
      </w:r>
      <w:r w:rsidRPr="00E91FB4">
        <w:rPr>
          <w:rFonts w:ascii="仿宋" w:eastAsia="仿宋" w:hAnsi="仿宋" w:cs="宋体" w:hint="eastAsia"/>
          <w:color w:val="000000"/>
          <w:szCs w:val="24"/>
        </w:rPr>
        <w:t>场地</w:t>
      </w:r>
      <w:r w:rsidRPr="00E91FB4">
        <w:rPr>
          <w:rFonts w:ascii="仿宋" w:eastAsia="仿宋" w:hAnsi="仿宋" w:cs="宋体" w:hint="eastAsia"/>
          <w:color w:val="000000"/>
          <w:szCs w:val="24"/>
        </w:rPr>
        <w:t>内电器设备良好散热（如电热开水器、电脑、音响等），不得在其周围堆放易燃、易爆物品及杂物，防止因散热不良而损坏设备或引起火灾。</w:t>
      </w:r>
      <w:r w:rsidRPr="00E91FB4">
        <w:rPr>
          <w:rFonts w:ascii="仿宋" w:eastAsia="仿宋" w:hAnsi="仿宋" w:cs="宋体" w:hint="eastAsia"/>
          <w:color w:val="000000"/>
          <w:szCs w:val="24"/>
        </w:rPr>
        <w:t>人离房时应断电、断气、熄灭火种。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68BC1BFF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应按照安全生产法律法规及政府主管部门的相关要求，建立健全安全生产管理档案（工业安全、消防安全、危化品安全、职工职业健康安全等），加强内部安全检查。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138B065E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乙方需对员工进行安全生产培训、宣传。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577FF9DF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乙方必须认真学习，执行有关消防法规，严格履行消防安全规定。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63A1C2EA" w14:textId="5549E629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乙方（包括装修施工期间）应按照消防规定配备灭火器</w:t>
      </w:r>
      <w:r w:rsidRPr="00E91FB4">
        <w:rPr>
          <w:rFonts w:ascii="仿宋" w:eastAsia="仿宋" w:hAnsi="仿宋" w:cs="宋体" w:hint="eastAsia"/>
          <w:color w:val="000000"/>
          <w:szCs w:val="24"/>
        </w:rPr>
        <w:t>，</w:t>
      </w:r>
      <w:r w:rsidRPr="00E91FB4">
        <w:rPr>
          <w:rFonts w:ascii="仿宋" w:eastAsia="仿宋" w:hAnsi="仿宋" w:cs="宋体" w:hint="eastAsia"/>
          <w:color w:val="000000"/>
          <w:szCs w:val="24"/>
        </w:rPr>
        <w:t>妥善保管</w:t>
      </w:r>
      <w:r w:rsidRPr="00E91FB4">
        <w:rPr>
          <w:rFonts w:ascii="仿宋" w:eastAsia="仿宋" w:hAnsi="仿宋" w:cs="宋体" w:hint="eastAsia"/>
          <w:color w:val="000000"/>
          <w:szCs w:val="24"/>
        </w:rPr>
        <w:t>，灭火器不得设置障碍物遮盖。灭火器过期失效后应及时充粉、更换配件或重新购买</w:t>
      </w:r>
      <w:r w:rsidRPr="00E91FB4">
        <w:rPr>
          <w:rFonts w:ascii="仿宋" w:eastAsia="仿宋" w:hAnsi="仿宋" w:cs="宋体" w:hint="eastAsia"/>
          <w:color w:val="000000"/>
          <w:szCs w:val="24"/>
        </w:rPr>
        <w:t>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4FBF8238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严禁乙方在消防栓旁和消防通道堵塞堆放杂物。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00F377D0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甲方在消防安全检查过程中，如发现乙方有火险</w:t>
      </w:r>
      <w:r w:rsidRPr="00E91FB4">
        <w:rPr>
          <w:rFonts w:ascii="仿宋" w:eastAsia="仿宋" w:hAnsi="仿宋" w:cs="宋体" w:hint="eastAsia"/>
          <w:color w:val="000000"/>
          <w:szCs w:val="24"/>
        </w:rPr>
        <w:t>隐患，如拒不改正的，甲方提请有关部门予以停业整顿，甲方有权采取其他强制措施</w:t>
      </w:r>
      <w:r w:rsidRPr="00E91FB4">
        <w:rPr>
          <w:rFonts w:ascii="仿宋" w:eastAsia="仿宋" w:hAnsi="仿宋" w:cs="宋体" w:hint="eastAsia"/>
          <w:color w:val="000000"/>
          <w:szCs w:val="24"/>
        </w:rPr>
        <w:t>或视乙方违约解除合同</w:t>
      </w:r>
      <w:r w:rsidRPr="00E91FB4">
        <w:rPr>
          <w:rFonts w:ascii="仿宋" w:eastAsia="仿宋" w:hAnsi="仿宋" w:cs="宋体" w:hint="eastAsia"/>
          <w:color w:val="000000"/>
          <w:szCs w:val="24"/>
        </w:rPr>
        <w:t>，而造成乙方损失的，责任自负。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17481565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采用新工艺、新技术、新材料、新设备，必须了解、掌握其安全技术特性，采取有效的安全防护措施，并对从业人员进行专门的安全生产教育和培训。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43698B53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定期监测生产环境中的粉尘、有毒、有害物质，超过国家规定标准的，要限期治理达标。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4312C702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按照国家规定，为职工配备符合工种需要和安全要求的防护用品。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42695D69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按照有关规定建立安全生产管理机构，配备（兼）专职安全管理人员，建立健全安全生产管理规章制度和操作规程，落实安全生产责任，加强对从业人员的安全生产培训、教育，制订并演练事故应急救援预案。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5F315C22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lastRenderedPageBreak/>
        <w:t>对于货梯，必须安排持证人员操作与管理。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03A88023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乙方因违反安全生产法、消防安全规定和本责任书内容而引起安全事故和火灾，或安装空调、广告牌，发生意外事故、或财产损失，责任均由乙方自负。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724874E3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乙方在租赁期间因违反安全管理的有关要求，造成单位人员伤亡事故，由乙方依法自行处理和解决；一切后果和经济损失由乙方负责。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60B90ED1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乙方人员不准私自动用、</w:t>
      </w:r>
      <w:r w:rsidRPr="00E91FB4">
        <w:rPr>
          <w:rFonts w:ascii="仿宋" w:eastAsia="仿宋" w:hAnsi="仿宋" w:cs="宋体" w:hint="eastAsia"/>
          <w:color w:val="000000"/>
          <w:szCs w:val="24"/>
        </w:rPr>
        <w:t>拆卸场地原有的设施，由于未执行此项规定，造成乙方人员或甲方人员伤害，一切后果和经济损失由乙方负责。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367A4690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乙方对本单位所有从业人员进行安全教育和培训，并依法自行管理与检查。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0BF1C59A" w14:textId="0F0F841F" w:rsidR="002F6015" w:rsidRPr="00E91FB4" w:rsidRDefault="007756D6" w:rsidP="00E91FB4">
      <w:pPr>
        <w:widowControl w:val="0"/>
        <w:numPr>
          <w:ilvl w:val="0"/>
          <w:numId w:val="2"/>
        </w:numPr>
        <w:spacing w:line="360" w:lineRule="auto"/>
        <w:jc w:val="both"/>
        <w:rPr>
          <w:rFonts w:ascii="黑体" w:eastAsia="黑体" w:hAnsi="黑体" w:cs="宋体" w:hint="eastAsia"/>
          <w:szCs w:val="24"/>
        </w:rPr>
      </w:pPr>
      <w:r w:rsidRPr="00E91FB4">
        <w:rPr>
          <w:rFonts w:ascii="黑体" w:eastAsia="黑体" w:hAnsi="黑体" w:cs="宋体" w:hint="eastAsia"/>
          <w:szCs w:val="24"/>
        </w:rPr>
        <w:t>其它补充</w:t>
      </w:r>
    </w:p>
    <w:p w14:paraId="55365CC4" w14:textId="48E518BF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由于</w:t>
      </w:r>
      <w:r w:rsidRPr="00E91FB4">
        <w:rPr>
          <w:rFonts w:ascii="仿宋" w:eastAsia="仿宋" w:hAnsi="仿宋" w:cs="宋体" w:hint="eastAsia"/>
          <w:color w:val="000000"/>
          <w:szCs w:val="24"/>
        </w:rPr>
        <w:t>乙方未严格执行《</w:t>
      </w:r>
      <w:r w:rsidRPr="00E91FB4">
        <w:rPr>
          <w:rFonts w:ascii="仿宋" w:eastAsia="仿宋" w:hAnsi="仿宋" w:cs="宋体" w:hint="eastAsia"/>
          <w:color w:val="000000"/>
          <w:szCs w:val="24"/>
        </w:rPr>
        <w:t>房屋</w:t>
      </w:r>
      <w:r w:rsidRPr="00E91FB4">
        <w:rPr>
          <w:rFonts w:ascii="仿宋" w:eastAsia="仿宋" w:hAnsi="仿宋" w:cs="宋体" w:hint="eastAsia"/>
          <w:color w:val="000000"/>
          <w:szCs w:val="24"/>
        </w:rPr>
        <w:t>租赁合同》约定内容，造成</w:t>
      </w:r>
      <w:r w:rsidRPr="00E91FB4">
        <w:rPr>
          <w:rFonts w:ascii="仿宋" w:eastAsia="仿宋" w:hAnsi="仿宋" w:cs="宋体" w:hint="eastAsia"/>
          <w:color w:val="000000"/>
          <w:szCs w:val="24"/>
        </w:rPr>
        <w:t>人员伤亡事故，按照相关安全生产法律法规的有关规定，</w:t>
      </w:r>
      <w:r w:rsidRPr="00E91FB4">
        <w:rPr>
          <w:rFonts w:ascii="仿宋" w:eastAsia="仿宋" w:hAnsi="仿宋" w:cs="宋体" w:hint="eastAsia"/>
          <w:color w:val="000000"/>
          <w:szCs w:val="24"/>
        </w:rPr>
        <w:t>依法</w:t>
      </w:r>
      <w:r w:rsidRPr="00E91FB4">
        <w:rPr>
          <w:rFonts w:ascii="仿宋" w:eastAsia="仿宋" w:hAnsi="仿宋" w:cs="宋体" w:hint="eastAsia"/>
          <w:color w:val="000000"/>
          <w:szCs w:val="24"/>
        </w:rPr>
        <w:t>处理。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2191B168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发生</w:t>
      </w:r>
      <w:r w:rsidRPr="00E91FB4">
        <w:rPr>
          <w:rFonts w:ascii="仿宋" w:eastAsia="仿宋" w:hAnsi="仿宋" w:cs="宋体" w:hint="eastAsia"/>
          <w:color w:val="000000"/>
          <w:szCs w:val="24"/>
        </w:rPr>
        <w:t>各类</w:t>
      </w:r>
      <w:r w:rsidRPr="00E91FB4">
        <w:rPr>
          <w:rFonts w:ascii="仿宋" w:eastAsia="仿宋" w:hAnsi="仿宋" w:cs="宋体" w:hint="eastAsia"/>
          <w:color w:val="000000"/>
          <w:szCs w:val="24"/>
        </w:rPr>
        <w:t>意外事故，乙方应责成工作人员积极配合管理方采取有效措施救治（如将伤者送往医院），避免未及时救治而扩大损失。发生各类安全事故，乙方应立即采取有效</w:t>
      </w:r>
      <w:proofErr w:type="gramStart"/>
      <w:r w:rsidRPr="00E91FB4">
        <w:rPr>
          <w:rFonts w:ascii="仿宋" w:eastAsia="仿宋" w:hAnsi="仿宋" w:cs="宋体" w:hint="eastAsia"/>
          <w:color w:val="000000"/>
          <w:szCs w:val="24"/>
        </w:rPr>
        <w:t>措施并第一时间</w:t>
      </w:r>
      <w:proofErr w:type="gramEnd"/>
      <w:r w:rsidRPr="00E91FB4">
        <w:rPr>
          <w:rFonts w:ascii="仿宋" w:eastAsia="仿宋" w:hAnsi="仿宋" w:cs="宋体" w:hint="eastAsia"/>
          <w:color w:val="000000"/>
          <w:szCs w:val="24"/>
        </w:rPr>
        <w:t>向</w:t>
      </w:r>
      <w:r w:rsidRPr="00E91FB4">
        <w:rPr>
          <w:rFonts w:ascii="仿宋" w:eastAsia="仿宋" w:hAnsi="仿宋" w:cs="宋体" w:hint="eastAsia"/>
          <w:color w:val="000000"/>
          <w:szCs w:val="24"/>
        </w:rPr>
        <w:t>甲方及有关部门</w:t>
      </w:r>
      <w:r w:rsidRPr="00E91FB4">
        <w:rPr>
          <w:rFonts w:ascii="仿宋" w:eastAsia="仿宋" w:hAnsi="仿宋" w:cs="宋体" w:hint="eastAsia"/>
          <w:color w:val="000000"/>
          <w:szCs w:val="24"/>
        </w:rPr>
        <w:t>报告隐患情况，配合政府安全部门对事故调查、处理。</w:t>
      </w:r>
    </w:p>
    <w:p w14:paraId="6D4FB354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甲方或甲方上级专业部门有权随时检查工作现场</w:t>
      </w:r>
      <w:r w:rsidRPr="00E91FB4">
        <w:rPr>
          <w:rFonts w:ascii="仿宋" w:eastAsia="仿宋" w:hAnsi="仿宋" w:cs="宋体" w:hint="eastAsia"/>
          <w:color w:val="000000"/>
          <w:szCs w:val="24"/>
        </w:rPr>
        <w:t>安全</w:t>
      </w:r>
      <w:r w:rsidRPr="00E91FB4">
        <w:rPr>
          <w:rFonts w:ascii="仿宋" w:eastAsia="仿宋" w:hAnsi="仿宋" w:cs="宋体" w:hint="eastAsia"/>
          <w:color w:val="000000"/>
          <w:szCs w:val="24"/>
        </w:rPr>
        <w:t>及《</w:t>
      </w:r>
      <w:r w:rsidRPr="00E91FB4">
        <w:rPr>
          <w:rFonts w:ascii="仿宋" w:eastAsia="仿宋" w:hAnsi="仿宋" w:cs="宋体" w:hint="eastAsia"/>
          <w:color w:val="000000"/>
          <w:szCs w:val="24"/>
        </w:rPr>
        <w:t>房屋</w:t>
      </w:r>
      <w:r w:rsidRPr="00E91FB4">
        <w:rPr>
          <w:rFonts w:ascii="仿宋" w:eastAsia="仿宋" w:hAnsi="仿宋" w:cs="宋体" w:hint="eastAsia"/>
          <w:color w:val="000000"/>
          <w:szCs w:val="24"/>
        </w:rPr>
        <w:t>租赁合同》落实情况。对不安全隐患有权指出并要求责任方及时整改，由此造成的后果和经济损失由乙方负责。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259F8179" w14:textId="77777777" w:rsidR="002F6015" w:rsidRPr="00E91FB4" w:rsidRDefault="007756D6" w:rsidP="00E91FB4">
      <w:pPr>
        <w:widowControl w:val="0"/>
        <w:numPr>
          <w:ilvl w:val="0"/>
          <w:numId w:val="2"/>
        </w:numPr>
        <w:spacing w:line="360" w:lineRule="auto"/>
        <w:jc w:val="both"/>
        <w:rPr>
          <w:rFonts w:ascii="黑体" w:eastAsia="黑体" w:hAnsi="黑体" w:cs="宋体" w:hint="eastAsia"/>
          <w:szCs w:val="24"/>
        </w:rPr>
      </w:pPr>
      <w:r w:rsidRPr="00E91FB4">
        <w:rPr>
          <w:rFonts w:ascii="黑体" w:eastAsia="黑体" w:hAnsi="黑体" w:cs="宋体" w:hint="eastAsia"/>
          <w:szCs w:val="24"/>
        </w:rPr>
        <w:t>附则</w:t>
      </w:r>
    </w:p>
    <w:p w14:paraId="7336BE6B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本协议一式</w:t>
      </w:r>
      <w:r w:rsidRPr="00E91FB4">
        <w:rPr>
          <w:rFonts w:ascii="仿宋" w:eastAsia="仿宋" w:hAnsi="仿宋" w:cs="宋体" w:hint="eastAsia"/>
          <w:color w:val="000000"/>
          <w:szCs w:val="24"/>
        </w:rPr>
        <w:t>肆</w:t>
      </w:r>
      <w:r w:rsidRPr="00E91FB4">
        <w:rPr>
          <w:rFonts w:ascii="仿宋" w:eastAsia="仿宋" w:hAnsi="仿宋" w:cs="宋体" w:hint="eastAsia"/>
          <w:color w:val="000000"/>
          <w:szCs w:val="24"/>
        </w:rPr>
        <w:t>份，</w:t>
      </w:r>
      <w:proofErr w:type="gramStart"/>
      <w:r w:rsidRPr="00E91FB4">
        <w:rPr>
          <w:rFonts w:ascii="仿宋" w:eastAsia="仿宋" w:hAnsi="仿宋" w:cs="宋体" w:hint="eastAsia"/>
          <w:color w:val="000000"/>
          <w:szCs w:val="24"/>
        </w:rPr>
        <w:t>甲执</w:t>
      </w:r>
      <w:r w:rsidRPr="00E91FB4">
        <w:rPr>
          <w:rFonts w:ascii="仿宋" w:eastAsia="仿宋" w:hAnsi="仿宋" w:cs="宋体" w:hint="eastAsia"/>
          <w:color w:val="000000"/>
          <w:szCs w:val="24"/>
        </w:rPr>
        <w:t>叁</w:t>
      </w:r>
      <w:r w:rsidRPr="00E91FB4">
        <w:rPr>
          <w:rFonts w:ascii="仿宋" w:eastAsia="仿宋" w:hAnsi="仿宋" w:cs="宋体" w:hint="eastAsia"/>
          <w:color w:val="000000"/>
          <w:szCs w:val="24"/>
        </w:rPr>
        <w:t>份</w:t>
      </w:r>
      <w:proofErr w:type="gramEnd"/>
      <w:r w:rsidRPr="00E91FB4">
        <w:rPr>
          <w:rFonts w:ascii="仿宋" w:eastAsia="仿宋" w:hAnsi="仿宋" w:cs="宋体" w:hint="eastAsia"/>
          <w:color w:val="000000"/>
          <w:szCs w:val="24"/>
        </w:rPr>
        <w:t>，</w:t>
      </w:r>
      <w:proofErr w:type="gramStart"/>
      <w:r w:rsidRPr="00E91FB4">
        <w:rPr>
          <w:rFonts w:ascii="仿宋" w:eastAsia="仿宋" w:hAnsi="仿宋" w:cs="宋体" w:hint="eastAsia"/>
          <w:color w:val="000000"/>
          <w:szCs w:val="24"/>
        </w:rPr>
        <w:t>乙执一份</w:t>
      </w:r>
      <w:proofErr w:type="gramEnd"/>
      <w:r w:rsidRPr="00E91FB4">
        <w:rPr>
          <w:rFonts w:ascii="仿宋" w:eastAsia="仿宋" w:hAnsi="仿宋" w:cs="宋体" w:hint="eastAsia"/>
          <w:color w:val="000000"/>
          <w:szCs w:val="24"/>
        </w:rPr>
        <w:t>，具有同等效力。</w:t>
      </w:r>
      <w:r w:rsidRPr="00E91FB4">
        <w:rPr>
          <w:rFonts w:ascii="Calibri" w:eastAsia="仿宋" w:hAnsi="Calibri" w:cs="Calibri"/>
          <w:color w:val="000000"/>
          <w:szCs w:val="24"/>
        </w:rPr>
        <w:t> </w:t>
      </w:r>
    </w:p>
    <w:p w14:paraId="1634094F" w14:textId="77777777" w:rsidR="002F6015" w:rsidRPr="00E91FB4" w:rsidRDefault="007756D6">
      <w:pPr>
        <w:pStyle w:val="a7"/>
        <w:numPr>
          <w:ilvl w:val="1"/>
          <w:numId w:val="2"/>
        </w:numPr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本协议自签名或盖章之日起生效，在乙方使用场地期间均有效。</w:t>
      </w:r>
      <w:r w:rsidRPr="00E91FB4">
        <w:rPr>
          <w:rFonts w:ascii="Calibri" w:eastAsia="仿宋" w:hAnsi="Calibri" w:cs="Calibri"/>
          <w:color w:val="000000"/>
          <w:szCs w:val="24"/>
        </w:rPr>
        <w:t>  </w:t>
      </w:r>
    </w:p>
    <w:p w14:paraId="3988144B" w14:textId="77777777" w:rsid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/>
          <w:b/>
          <w:color w:val="000000"/>
          <w:szCs w:val="24"/>
        </w:rPr>
        <w:sectPr w:rsidR="00E91FB4">
          <w:footerReference w:type="default" r:id="rId8"/>
          <w:pgSz w:w="11895" w:h="16845"/>
          <w:pgMar w:top="1440" w:right="1800" w:bottom="1440" w:left="1800" w:header="720" w:footer="720" w:gutter="0"/>
          <w:cols w:space="720"/>
        </w:sectPr>
      </w:pPr>
      <w:r w:rsidRPr="00E91FB4">
        <w:rPr>
          <w:rFonts w:ascii="仿宋" w:eastAsia="仿宋" w:hAnsi="仿宋" w:hint="eastAsia"/>
          <w:szCs w:val="24"/>
        </w:rPr>
        <w:br/>
      </w:r>
    </w:p>
    <w:p w14:paraId="6555C7AE" w14:textId="74609D86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b/>
          <w:color w:val="000000"/>
          <w:szCs w:val="24"/>
        </w:rPr>
        <w:t>甲方（盖章）：</w:t>
      </w:r>
    </w:p>
    <w:p w14:paraId="4E92B0F3" w14:textId="77777777" w:rsid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/>
          <w:b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法定代表人或授权代表（签字）：</w:t>
      </w:r>
      <w:r w:rsidRPr="00E91FB4">
        <w:rPr>
          <w:rFonts w:ascii="仿宋" w:eastAsia="仿宋" w:hAnsi="仿宋" w:hint="eastAsia"/>
          <w:szCs w:val="24"/>
        </w:rPr>
        <w:br/>
      </w:r>
    </w:p>
    <w:p w14:paraId="1B6CFA94" w14:textId="77777777" w:rsidR="00E91FB4" w:rsidRDefault="00E91FB4">
      <w:pPr>
        <w:pStyle w:val="a7"/>
        <w:spacing w:before="0" w:beforeAutospacing="0" w:after="0" w:afterAutospacing="0" w:line="360" w:lineRule="auto"/>
        <w:rPr>
          <w:rFonts w:ascii="仿宋" w:eastAsia="仿宋" w:hAnsi="仿宋" w:cs="宋体"/>
          <w:b/>
          <w:color w:val="000000"/>
          <w:szCs w:val="24"/>
        </w:rPr>
      </w:pPr>
    </w:p>
    <w:p w14:paraId="299488D1" w14:textId="06D53598" w:rsidR="00E91FB4" w:rsidRDefault="00E91FB4">
      <w:pPr>
        <w:pStyle w:val="a7"/>
        <w:spacing w:before="0" w:beforeAutospacing="0" w:after="0" w:afterAutospacing="0" w:line="360" w:lineRule="auto"/>
        <w:rPr>
          <w:rFonts w:ascii="仿宋" w:eastAsia="仿宋" w:hAnsi="仿宋" w:cs="宋体"/>
          <w:b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签署时间：</w:t>
      </w:r>
      <w:r w:rsidRPr="00E91FB4">
        <w:rPr>
          <w:rFonts w:ascii="Calibri" w:eastAsia="仿宋" w:hAnsi="Calibri" w:cs="Calibri"/>
          <w:color w:val="000000"/>
          <w:szCs w:val="24"/>
        </w:rPr>
        <w:t>    </w:t>
      </w:r>
      <w:r w:rsidRPr="00E91FB4">
        <w:rPr>
          <w:rFonts w:ascii="仿宋" w:eastAsia="仿宋" w:hAnsi="仿宋" w:cs="宋体" w:hint="eastAsia"/>
          <w:color w:val="000000"/>
          <w:szCs w:val="24"/>
        </w:rPr>
        <w:t>年</w:t>
      </w:r>
      <w:r w:rsidRPr="00E91FB4">
        <w:rPr>
          <w:rFonts w:ascii="Calibri" w:eastAsia="仿宋" w:hAnsi="Calibri" w:cs="Calibri"/>
          <w:color w:val="000000"/>
          <w:szCs w:val="24"/>
        </w:rPr>
        <w:t>    </w:t>
      </w:r>
      <w:r w:rsidRPr="00E91FB4">
        <w:rPr>
          <w:rFonts w:ascii="仿宋" w:eastAsia="仿宋" w:hAnsi="仿宋" w:cs="宋体" w:hint="eastAsia"/>
          <w:color w:val="000000"/>
          <w:szCs w:val="24"/>
        </w:rPr>
        <w:t>月</w:t>
      </w:r>
      <w:r w:rsidRPr="00E91FB4">
        <w:rPr>
          <w:rFonts w:ascii="Calibri" w:eastAsia="仿宋" w:hAnsi="Calibri" w:cs="Calibri"/>
          <w:color w:val="000000"/>
          <w:szCs w:val="24"/>
        </w:rPr>
        <w:t>    </w:t>
      </w:r>
      <w:r w:rsidRPr="00E91FB4">
        <w:rPr>
          <w:rFonts w:ascii="仿宋" w:eastAsia="仿宋" w:hAnsi="仿宋" w:cs="宋体" w:hint="eastAsia"/>
          <w:color w:val="000000"/>
          <w:szCs w:val="24"/>
        </w:rPr>
        <w:t>日</w:t>
      </w:r>
    </w:p>
    <w:p w14:paraId="203A1324" w14:textId="42517040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b/>
          <w:color w:val="000000"/>
          <w:szCs w:val="24"/>
        </w:rPr>
        <w:t>乙方（盖章）：</w:t>
      </w:r>
    </w:p>
    <w:p w14:paraId="6EFD1B33" w14:textId="77777777" w:rsidR="002F6015" w:rsidRPr="00E91FB4" w:rsidRDefault="007756D6">
      <w:pPr>
        <w:pStyle w:val="a7"/>
        <w:spacing w:before="0" w:beforeAutospacing="0" w:after="0" w:afterAutospacing="0" w:line="360" w:lineRule="auto"/>
        <w:rPr>
          <w:rFonts w:ascii="仿宋" w:eastAsia="仿宋" w:hAnsi="仿宋" w:cs="宋体" w:hint="eastAsia"/>
          <w:color w:val="000000"/>
          <w:szCs w:val="24"/>
        </w:rPr>
      </w:pPr>
      <w:r w:rsidRPr="00E91FB4">
        <w:rPr>
          <w:rFonts w:ascii="仿宋" w:eastAsia="仿宋" w:hAnsi="仿宋" w:cs="宋体" w:hint="eastAsia"/>
          <w:color w:val="000000"/>
          <w:szCs w:val="24"/>
        </w:rPr>
        <w:t>法定代表人或授权代表（签字）：</w:t>
      </w:r>
    </w:p>
    <w:sectPr w:rsidR="002F6015" w:rsidRPr="00E91FB4" w:rsidSect="00E91FB4">
      <w:type w:val="continuous"/>
      <w:pgSz w:w="11895" w:h="16845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7E14" w14:textId="77777777" w:rsidR="007756D6" w:rsidRDefault="007756D6">
      <w:r>
        <w:separator/>
      </w:r>
    </w:p>
  </w:endnote>
  <w:endnote w:type="continuationSeparator" w:id="0">
    <w:p w14:paraId="64817B70" w14:textId="77777777" w:rsidR="007756D6" w:rsidRDefault="0077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fang">
    <w:altName w:val="Segoe Print"/>
    <w:charset w:val="00"/>
    <w:family w:val="auto"/>
    <w:pitch w:val="default"/>
  </w:font>
  <w:font w:name="Msyh">
    <w:altName w:val="Segoe Print"/>
    <w:charset w:val="00"/>
    <w:family w:val="auto"/>
    <w:pitch w:val="default"/>
  </w:font>
  <w:font w:name="方正小标宋简体">
    <w:altName w:val="Microsoft YaHei UI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7563" w14:textId="77777777" w:rsidR="002F6015" w:rsidRDefault="007756D6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页</w:t>
    </w:r>
    <w:r>
      <w:t xml:space="preserve"> / </w:t>
    </w:r>
    <w:r>
      <w:t>共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6CBF" w14:textId="77777777" w:rsidR="007756D6" w:rsidRDefault="007756D6">
      <w:r>
        <w:separator/>
      </w:r>
    </w:p>
  </w:footnote>
  <w:footnote w:type="continuationSeparator" w:id="0">
    <w:p w14:paraId="2E6A3A43" w14:textId="77777777" w:rsidR="007756D6" w:rsidRDefault="0077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chineseCountingThousand"/>
      <w:lvlText w:val="%1、"/>
      <w:lvlJc w:val="left"/>
      <w:pPr>
        <w:ind w:left="0"/>
      </w:pPr>
    </w:lvl>
    <w:lvl w:ilvl="1">
      <w:start w:val="1"/>
      <w:numFmt w:val="decimalHalfWidth"/>
      <w:lvlText w:val="%2. "/>
      <w:lvlJc w:val="left"/>
      <w:pPr>
        <w:ind w:left="0"/>
      </w:pPr>
    </w:lvl>
    <w:lvl w:ilvl="2">
      <w:start w:val="1"/>
      <w:numFmt w:val="decimalHalfWidth"/>
      <w:lvlText w:val="（%3）"/>
      <w:lvlJc w:val="left"/>
      <w:pPr>
        <w:ind w:left="0"/>
      </w:pPr>
    </w:lvl>
    <w:lvl w:ilvl="3">
      <w:start w:val="1"/>
      <w:numFmt w:val="lowerLetter"/>
      <w:lvlText w:val="%4. "/>
      <w:lvlJc w:val="left"/>
      <w:pPr>
        <w:ind w:left="0"/>
      </w:pPr>
    </w:lvl>
    <w:lvl w:ilvl="4">
      <w:start w:val="1"/>
      <w:numFmt w:val="lowerLetter"/>
      <w:lvlText w:val="（%5）"/>
      <w:lvlJc w:val="left"/>
      <w:pPr>
        <w:ind w:left="0"/>
      </w:pPr>
    </w:lvl>
    <w:lvl w:ilvl="5">
      <w:start w:val="1"/>
      <w:numFmt w:val="lowerRoman"/>
      <w:lvlText w:val="%6 "/>
      <w:lvlJc w:val="left"/>
      <w:pPr>
        <w:ind w:left="0"/>
      </w:pPr>
    </w:lvl>
    <w:lvl w:ilvl="6">
      <w:start w:val="1"/>
      <w:numFmt w:val="decimalHalfWidth"/>
      <w:lvlText w:val="%7. "/>
      <w:lvlJc w:val="left"/>
      <w:pPr>
        <w:ind w:left="0"/>
      </w:pPr>
    </w:lvl>
    <w:lvl w:ilvl="7">
      <w:start w:val="1"/>
      <w:numFmt w:val="decimalHalfWidth"/>
      <w:lvlText w:val="（%8）"/>
      <w:lvlJc w:val="left"/>
      <w:pPr>
        <w:ind w:left="0"/>
      </w:pPr>
    </w:lvl>
    <w:lvl w:ilvl="8">
      <w:start w:val="1"/>
      <w:numFmt w:val="lowerLetter"/>
      <w:lvlText w:val="%9. "/>
      <w:lvlJc w:val="left"/>
      <w:pPr>
        <w:ind w:left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chineseCountingThousand"/>
      <w:lvlText w:val="%1、"/>
      <w:lvlJc w:val="left"/>
      <w:pPr>
        <w:ind w:left="0"/>
      </w:pPr>
    </w:lvl>
    <w:lvl w:ilvl="1">
      <w:start w:val="1"/>
      <w:numFmt w:val="decimalHalfWidth"/>
      <w:lvlText w:val="%2. "/>
      <w:lvlJc w:val="left"/>
      <w:pPr>
        <w:ind w:left="0"/>
      </w:pPr>
    </w:lvl>
    <w:lvl w:ilvl="2">
      <w:start w:val="1"/>
      <w:numFmt w:val="decimalHalfWidth"/>
      <w:lvlText w:val="（%3）"/>
      <w:lvlJc w:val="left"/>
      <w:pPr>
        <w:ind w:left="0"/>
      </w:pPr>
    </w:lvl>
    <w:lvl w:ilvl="3">
      <w:start w:val="1"/>
      <w:numFmt w:val="lowerLetter"/>
      <w:lvlText w:val="%4. "/>
      <w:lvlJc w:val="left"/>
      <w:pPr>
        <w:ind w:left="0"/>
      </w:pPr>
    </w:lvl>
    <w:lvl w:ilvl="4">
      <w:start w:val="1"/>
      <w:numFmt w:val="lowerLetter"/>
      <w:lvlText w:val="（%5）"/>
      <w:lvlJc w:val="left"/>
      <w:pPr>
        <w:ind w:left="0"/>
      </w:pPr>
    </w:lvl>
    <w:lvl w:ilvl="5">
      <w:start w:val="1"/>
      <w:numFmt w:val="lowerRoman"/>
      <w:lvlText w:val="%6 "/>
      <w:lvlJc w:val="left"/>
      <w:pPr>
        <w:ind w:left="0"/>
      </w:pPr>
    </w:lvl>
    <w:lvl w:ilvl="6">
      <w:start w:val="1"/>
      <w:numFmt w:val="decimalHalfWidth"/>
      <w:lvlText w:val="%7. "/>
      <w:lvlJc w:val="left"/>
      <w:pPr>
        <w:ind w:left="0"/>
      </w:pPr>
    </w:lvl>
    <w:lvl w:ilvl="7">
      <w:start w:val="1"/>
      <w:numFmt w:val="decimalHalfWidth"/>
      <w:lvlText w:val="（%8）"/>
      <w:lvlJc w:val="left"/>
      <w:pPr>
        <w:ind w:left="0"/>
      </w:pPr>
    </w:lvl>
    <w:lvl w:ilvl="8">
      <w:start w:val="1"/>
      <w:numFmt w:val="lowerLetter"/>
      <w:lvlText w:val="%9. "/>
      <w:lvlJc w:val="left"/>
      <w:pPr>
        <w:ind w:left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revisionView w:inkAnnotation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zODg1Yjg1NDk1MWIyNDAzOGQzYTVmOWE2Mjk0OTUifQ=="/>
  </w:docVars>
  <w:rsids>
    <w:rsidRoot w:val="00667F71"/>
    <w:rsid w:val="002F6015"/>
    <w:rsid w:val="005C17D9"/>
    <w:rsid w:val="00667F71"/>
    <w:rsid w:val="007756D6"/>
    <w:rsid w:val="00AD43EB"/>
    <w:rsid w:val="00E91FB4"/>
    <w:rsid w:val="00ED708D"/>
    <w:rsid w:val="10C11887"/>
    <w:rsid w:val="4DED560B"/>
    <w:rsid w:val="545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F37EA"/>
  <w15:docId w15:val="{05F007E5-5FCC-4B73-8E49-148406CD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autoRedefine/>
    <w:uiPriority w:val="9"/>
    <w:qFormat/>
    <w:pPr>
      <w:keepLines/>
      <w:spacing w:before="280" w:after="280"/>
      <w:jc w:val="center"/>
      <w:outlineLvl w:val="0"/>
    </w:pPr>
    <w:rPr>
      <w:b/>
      <w:color w:val="000000"/>
      <w:sz w:val="36"/>
    </w:rPr>
  </w:style>
  <w:style w:type="paragraph" w:styleId="3">
    <w:name w:val="heading 3"/>
    <w:basedOn w:val="a"/>
    <w:next w:val="a"/>
    <w:autoRedefine/>
    <w:uiPriority w:val="9"/>
    <w:qFormat/>
    <w:pPr>
      <w:keepLines/>
      <w:spacing w:before="280" w:after="280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</w:style>
  <w:style w:type="table" w:customStyle="1" w:styleId="TableNormal">
    <w:name w:val="Table Normal"/>
    <w:autoRedefine/>
    <w:uiPriority w:val="5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-fangsong">
    <w:name w:val="font-fangsong *"/>
    <w:basedOn w:val="a"/>
    <w:autoRedefine/>
    <w:qFormat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font-song">
    <w:name w:val="font-song *"/>
    <w:basedOn w:val="a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ont-yahei">
    <w:name w:val="font-yahei *"/>
    <w:basedOn w:val="a"/>
    <w:pPr>
      <w:spacing w:before="100" w:beforeAutospacing="1" w:after="100" w:afterAutospacing="1"/>
    </w:pPr>
    <w:rPr>
      <w:rFonts w:ascii="Msyh" w:hAnsi="Msyh" w:cs="Msyh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2C40-86ED-4A9A-BE8D-B7718488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场地安全生产管理协议</dc:title>
  <dc:creator>法天使</dc:creator>
  <cp:lastModifiedBy>Yan Liu</cp:lastModifiedBy>
  <cp:revision>3</cp:revision>
  <dcterms:created xsi:type="dcterms:W3CDTF">2024-12-02T08:38:00Z</dcterms:created>
  <dcterms:modified xsi:type="dcterms:W3CDTF">2025-04-29T08:31:00Z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2E583D9AA3E4434288F533BB2BAC7F09_13</vt:lpwstr>
  </property>
</Properties>
</file>